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Quarterly business review — [Customer] — Q[ ] [Year]</w:t>
      </w:r>
    </w:p>
    <w:p>
      <w:pPr>
        <w:tabs>
          <w:tab w:pos="4680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[date]</w:t>
        <w:tab/>
      </w:r>
      <w:r>
        <w:rPr>
          <w:rFonts w:ascii="Arial" w:hAnsi="Arial" w:eastAsia="Arial" w:cs="Arial"/>
          <w:b/>
        </w:rPr>
        <w:t>Next QBR:</w:t>
      </w:r>
      <w:r>
        <w:rPr>
          <w:rFonts w:ascii="Arial" w:hAnsi="Arial" w:eastAsia="Arial" w:cs="Arial"/>
        </w:rPr>
        <w:t xml:space="preserve"> [date, booked before we close]</w:t>
      </w:r>
    </w:p>
    <w:p>
      <w:r>
        <w:rPr>
          <w:rFonts w:ascii="Arial" w:hAnsi="Arial" w:eastAsia="Arial" w:cs="Arial"/>
          <w:b/>
        </w:rPr>
        <w:t>Our side:</w:t>
      </w:r>
      <w:r>
        <w:rPr>
          <w:rFonts w:ascii="Arial" w:hAnsi="Arial" w:eastAsia="Arial" w:cs="Arial"/>
        </w:rPr>
        <w:t xml:space="preserve"> [account manager / CSM], [executive sponsor]</w:t>
      </w:r>
    </w:p>
    <w:p>
      <w:r>
        <w:rPr>
          <w:rFonts w:ascii="Arial" w:hAnsi="Arial" w:eastAsia="Arial" w:cs="Arial"/>
          <w:b/>
        </w:rPr>
        <w:t>Customer side:</w:t>
      </w:r>
      <w:r>
        <w:rPr>
          <w:rFonts w:ascii="Arial" w:hAnsi="Arial" w:eastAsia="Arial" w:cs="Arial"/>
        </w:rPr>
        <w:t xml:space="preserve"> [decision-maker], [day-to-day users]</w:t>
      </w:r>
    </w:p>
    <w:p>
      <w:pPr>
        <w:spacing w:before="80"/>
      </w:pPr>
      <w:r>
        <w:rPr>
          <w:rFonts w:ascii="Arial" w:hAnsi="Arial" w:eastAsia="Arial" w:cs="Arial"/>
          <w:i/>
          <w:color w:val="6B7280"/>
          <w:sz w:val="18"/>
        </w:rPr>
        <w:t>Entries in parentheses are illustrative, for a fictional help-desk software customer, Quillfield Home Services.</w:t>
      </w:r>
    </w:p>
    <w:p>
      <w:pPr>
        <w:pStyle w:val="Heading2"/>
      </w:pPr>
      <w:r>
        <w:rPr>
          <w:rFonts w:ascii="Arial" w:hAnsi="Arial" w:eastAsia="Arial" w:cs="Arial"/>
        </w:rPr>
        <w:t>0. Commitments from last QBR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(Connector to Quillfield's reporting tool — our support engineer — done)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3744"/>
        <w:gridCol w:w="2160"/>
        <w:gridCol w:w="3456"/>
      </w:tblGrid>
      <w:tr>
        <w:trPr>
          <w:tblHeader/>
        </w:trPr>
        <w:tc>
          <w:tcPr>
            <w:tcW w:type="dxa" w:w="3744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Commitment</w:t>
            </w:r>
          </w:p>
        </w:tc>
        <w:tc>
          <w:tcPr>
            <w:tcW w:type="dxa" w:w="2160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Owner, side</w:t>
            </w:r>
          </w:p>
        </w:tc>
        <w:tc>
          <w:tcPr>
            <w:tcW w:type="dxa" w:w="345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Done / not done / moved to [date]</w:t>
            </w: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3456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16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3456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3456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</w:rPr>
        <w:t>1. Executive summary</w:t>
      </w:r>
    </w:p>
    <w:p>
      <w:pPr>
        <w:keepNext/>
      </w:pPr>
      <w:r>
        <w:rPr>
          <w:rFonts w:ascii="Arial" w:hAnsi="Arial" w:eastAsia="Arial" w:cs="Arial"/>
        </w:rPr>
        <w:t>Biggest win, biggest gap, the decision we need today.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(First response beat target; reporting barely used; decide who replaces their admin)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2. Customer goals</w:t>
      </w:r>
    </w:p>
    <w:p>
      <w:pPr>
        <w:keepNext/>
      </w:pPr>
      <w:r>
        <w:rPr>
          <w:rFonts w:ascii="Arial" w:hAnsi="Arial" w:eastAsia="Arial" w:cs="Arial"/>
        </w:rPr>
        <w:t>What is the customer trying to achieve, in their words?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("First response under 4 hours before our June busy season")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3. Results against goals</w:t>
      </w:r>
    </w:p>
    <w:p>
      <w:pPr>
        <w:keepNext/>
      </w:pPr>
      <w:r>
        <w:rPr>
          <w:rFonts w:ascii="Arial" w:hAnsi="Arial" w:eastAsia="Arial" w:cs="Arial"/>
        </w:rPr>
        <w:t>Each KPI: target vs. actual vs. last quarter.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(First-response time: target 6 h, actual 5.6 h, last quarter 7.1 h)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3744"/>
        <w:gridCol w:w="1872"/>
        <w:gridCol w:w="1872"/>
        <w:gridCol w:w="1872"/>
      </w:tblGrid>
      <w:tr>
        <w:trPr>
          <w:tblHeader/>
        </w:trPr>
        <w:tc>
          <w:tcPr>
            <w:tcW w:type="dxa" w:w="3744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KPI</w:t>
            </w:r>
          </w:p>
        </w:tc>
        <w:tc>
          <w:tcPr>
            <w:tcW w:type="dxa" w:w="187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Target</w:t>
            </w:r>
          </w:p>
        </w:tc>
        <w:tc>
          <w:tcPr>
            <w:tcW w:type="dxa" w:w="187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Actual</w:t>
            </w:r>
          </w:p>
        </w:tc>
        <w:tc>
          <w:tcPr>
            <w:tcW w:type="dxa" w:w="187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Last quarter</w:t>
            </w: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872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</w:rPr>
        <w:t>4. Value delivered</w:t>
      </w:r>
    </w:p>
    <w:p>
      <w:pPr>
        <w:keepNext/>
      </w:pPr>
      <w:r>
        <w:rPr>
          <w:rFonts w:ascii="Arial" w:hAnsi="Arial" w:eastAsia="Arial" w:cs="Arial"/>
        </w:rPr>
        <w:t>What did the customer gain, in their own numbers?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(Their support lead: auto-routing saves 120 agent hours a month)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5. Usage</w:t>
      </w:r>
    </w:p>
    <w:p>
      <w:pPr>
        <w:keepNext/>
      </w:pPr>
      <w:r>
        <w:rPr>
          <w:rFonts w:ascii="Arial" w:hAnsi="Arial" w:eastAsia="Arial" w:cs="Arial"/>
        </w:rPr>
        <w:t>Who uses what? What is unused, and why?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(46 of 60 seats active weekly; 2 people use reporting)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6. Risks and open issues</w:t>
      </w:r>
    </w:p>
    <w:p>
      <w:pPr>
        <w:keepNext/>
      </w:pPr>
      <w:r>
        <w:rPr>
          <w:rFonts w:ascii="Arial" w:hAnsi="Arial" w:eastAsia="Arial" w:cs="Arial"/>
        </w:rPr>
        <w:t>What went wrong, what is open, what did the customer flag?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(Two escalations in August; their admin leaves in November)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7. Roadmap</w:t>
      </w:r>
    </w:p>
    <w:p>
      <w:pPr>
        <w:keepNext/>
      </w:pPr>
      <w:r>
        <w:rPr>
          <w:rFonts w:ascii="Arial" w:hAnsi="Arial" w:eastAsia="Arial" w:cs="Arial"/>
        </w:rPr>
        <w:t>What ships next quarter that serves a goal in section 2?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(SLA breach alerts — release quarter confirmed by product team)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8. Next-quarter goals</w:t>
      </w:r>
    </w:p>
    <w:p>
      <w:pPr>
        <w:keepNext/>
      </w:pPr>
      <w:r>
        <w:rPr>
          <w:rFonts w:ascii="Arial" w:hAnsi="Arial" w:eastAsia="Arial" w:cs="Arial"/>
        </w:rPr>
        <w:t>Two or three goals, each with a metric and a target.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(First response under 5 h; every team lead uses reporting weekly)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3168"/>
        <w:gridCol w:w="2016"/>
      </w:tblGrid>
      <w:tr>
        <w:trPr>
          <w:tblHeader/>
        </w:trPr>
        <w:tc>
          <w:tcPr>
            <w:tcW w:type="dxa" w:w="417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Goal</w:t>
            </w:r>
          </w:p>
        </w:tc>
        <w:tc>
          <w:tcPr>
            <w:tcW w:type="dxa" w:w="316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Metric</w:t>
            </w:r>
          </w:p>
        </w:tc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Target</w:t>
            </w:r>
          </w:p>
        </w:tc>
      </w:tr>
      <w:tr>
        <w:trPr>
          <w:trHeight w:val="460" w:hRule="atLeast"/>
        </w:trPr>
        <w:tc>
          <w:tcPr>
            <w:tcW w:type="dxa" w:w="4176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316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016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4176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316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016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4176"/>
          </w:tcPr>
          <w:p>
            <w:pPr>
              <w:spacing w:after="0" w:line="240" w:lineRule="auto"/>
            </w:pPr>
          </w:p>
        </w:tc>
        <w:tc>
          <w:tcPr>
            <w:tcW w:type="dxa" w:w="316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</w:rPr>
        <w:t>9. Action items</w:t>
      </w:r>
    </w:p>
    <w:p>
      <w:pPr>
        <w:keepNext/>
        <w:spacing w:after="0"/>
      </w:pPr>
      <w:r>
        <w:rPr>
          <w:rFonts w:ascii="Arial" w:hAnsi="Arial" w:eastAsia="Arial" w:cs="Arial"/>
          <w:i/>
          <w:color w:val="6B7280"/>
          <w:sz w:val="18"/>
        </w:rPr>
        <w:t>(Run reporting training for team leads — our CSM — Nov 7)</w:t>
      </w:r>
    </w:p>
    <w:p>
      <w:pPr>
        <w:keepNext/>
      </w:pPr>
      <w:r>
        <w:rPr>
          <w:rFonts w:ascii="Arial" w:hAnsi="Arial" w:eastAsia="Arial" w:cs="Arial"/>
          <w:i/>
          <w:color w:val="6B7280"/>
          <w:sz w:val="18"/>
        </w:rPr>
        <w:t>(Name a new admin — Quillfield support director — Oct 31)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5040"/>
        <w:gridCol w:w="2592"/>
        <w:gridCol w:w="1728"/>
      </w:tblGrid>
      <w:tr>
        <w:trPr>
          <w:tblHeader/>
        </w:trPr>
        <w:tc>
          <w:tcPr>
            <w:tcW w:type="dxa" w:w="5040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2592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Owner, side</w:t>
            </w:r>
          </w:p>
        </w:tc>
        <w:tc>
          <w:tcPr>
            <w:tcW w:type="dxa" w:w="172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 date</w:t>
            </w: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59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72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59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72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59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72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592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728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040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QBR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